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rPr>
          <w:rFonts w:ascii="黑体" w:hAnsi="黑体" w:eastAsia="黑体"/>
          <w:color w:val="000000"/>
          <w:kern w:val="0"/>
          <w:szCs w:val="32"/>
        </w:rPr>
      </w:pPr>
      <w:r>
        <w:rPr>
          <w:rFonts w:hint="eastAsia" w:ascii="黑体" w:hAnsi="黑体" w:eastAsia="黑体"/>
          <w:color w:val="000000"/>
          <w:kern w:val="0"/>
          <w:szCs w:val="32"/>
        </w:rPr>
        <w:t>附件1</w:t>
      </w:r>
    </w:p>
    <w:p>
      <w:pPr>
        <w:widowControl/>
        <w:snapToGrid w:val="0"/>
        <w:spacing w:line="600" w:lineRule="exact"/>
        <w:jc w:val="center"/>
        <w:rPr>
          <w:rFonts w:ascii="方正小标宋简体" w:eastAsia="方正小标宋简体"/>
          <w:color w:val="000000"/>
          <w:kern w:val="0"/>
          <w:sz w:val="36"/>
          <w:szCs w:val="36"/>
        </w:rPr>
      </w:pPr>
      <w:r>
        <w:rPr>
          <w:rFonts w:hint="eastAsia" w:ascii="方正小标宋简体" w:eastAsia="方正小标宋简体"/>
          <w:color w:val="000000"/>
          <w:kern w:val="0"/>
          <w:sz w:val="36"/>
          <w:szCs w:val="36"/>
        </w:rPr>
        <w:t>沈阳市义务教育课程改革先进学校、基地学校、达标学校评估细则</w:t>
      </w:r>
    </w:p>
    <w:p>
      <w:pPr>
        <w:widowControl/>
        <w:snapToGrid w:val="0"/>
        <w:spacing w:line="240" w:lineRule="exact"/>
        <w:jc w:val="center"/>
        <w:rPr>
          <w:rFonts w:ascii="方正小标宋简体" w:eastAsia="方正小标宋简体"/>
          <w:color w:val="000000"/>
          <w:kern w:val="0"/>
          <w:sz w:val="36"/>
          <w:szCs w:val="36"/>
        </w:rPr>
      </w:pPr>
    </w:p>
    <w:tbl>
      <w:tblPr>
        <w:tblStyle w:val="3"/>
        <w:tblW w:w="14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542"/>
        <w:gridCol w:w="10648"/>
        <w:gridCol w:w="61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86" w:type="dxa"/>
            <w:vAlign w:val="center"/>
          </w:tcPr>
          <w:p>
            <w:pPr>
              <w:widowControl/>
              <w:snapToGrid w:val="0"/>
              <w:spacing w:line="300" w:lineRule="exact"/>
              <w:jc w:val="center"/>
              <w:rPr>
                <w:rFonts w:ascii="黑体" w:hAnsi="黑体" w:eastAsia="黑体" w:cs="Tahoma"/>
                <w:bCs/>
                <w:kern w:val="0"/>
                <w:sz w:val="24"/>
              </w:rPr>
            </w:pPr>
            <w:r>
              <w:rPr>
                <w:rFonts w:hint="eastAsia" w:ascii="黑体" w:hAnsi="黑体" w:eastAsia="黑体" w:cs="Tahoma"/>
                <w:bCs/>
                <w:kern w:val="0"/>
                <w:sz w:val="24"/>
              </w:rPr>
              <w:t>一级指标</w:t>
            </w:r>
          </w:p>
        </w:tc>
        <w:tc>
          <w:tcPr>
            <w:tcW w:w="1542" w:type="dxa"/>
            <w:vAlign w:val="center"/>
          </w:tcPr>
          <w:p>
            <w:pPr>
              <w:widowControl/>
              <w:snapToGrid w:val="0"/>
              <w:spacing w:line="300" w:lineRule="exact"/>
              <w:jc w:val="center"/>
              <w:rPr>
                <w:rFonts w:ascii="黑体" w:hAnsi="黑体" w:eastAsia="黑体" w:cs="Tahoma"/>
                <w:bCs/>
                <w:kern w:val="0"/>
                <w:sz w:val="24"/>
              </w:rPr>
            </w:pPr>
            <w:r>
              <w:rPr>
                <w:rFonts w:hint="eastAsia" w:ascii="黑体" w:hAnsi="黑体" w:eastAsia="黑体"/>
                <w:sz w:val="24"/>
              </w:rPr>
              <w:t>二级</w:t>
            </w:r>
            <w:r>
              <w:rPr>
                <w:rFonts w:hint="eastAsia" w:ascii="黑体" w:hAnsi="黑体" w:eastAsia="黑体" w:cs="Tahoma"/>
                <w:bCs/>
                <w:kern w:val="0"/>
                <w:sz w:val="24"/>
              </w:rPr>
              <w:t>指标</w:t>
            </w:r>
          </w:p>
        </w:tc>
        <w:tc>
          <w:tcPr>
            <w:tcW w:w="10648" w:type="dxa"/>
            <w:vAlign w:val="center"/>
          </w:tcPr>
          <w:p>
            <w:pPr>
              <w:widowControl/>
              <w:snapToGrid w:val="0"/>
              <w:spacing w:line="300" w:lineRule="exact"/>
              <w:jc w:val="center"/>
              <w:rPr>
                <w:rFonts w:ascii="黑体" w:hAnsi="黑体" w:eastAsia="黑体" w:cs="Tahoma"/>
                <w:bCs/>
                <w:kern w:val="0"/>
                <w:sz w:val="24"/>
              </w:rPr>
            </w:pPr>
            <w:r>
              <w:rPr>
                <w:rFonts w:hint="eastAsia" w:ascii="黑体" w:hAnsi="黑体" w:eastAsia="黑体" w:cs="Tahoma"/>
                <w:bCs/>
                <w:kern w:val="0"/>
                <w:sz w:val="24"/>
              </w:rPr>
              <w:t>评估描述</w:t>
            </w:r>
          </w:p>
        </w:tc>
        <w:tc>
          <w:tcPr>
            <w:tcW w:w="613" w:type="dxa"/>
            <w:vAlign w:val="center"/>
          </w:tcPr>
          <w:p>
            <w:pPr>
              <w:widowControl/>
              <w:snapToGrid w:val="0"/>
              <w:spacing w:line="300" w:lineRule="exact"/>
              <w:jc w:val="center"/>
              <w:rPr>
                <w:rFonts w:ascii="黑体" w:hAnsi="黑体" w:eastAsia="黑体" w:cs="Tahoma"/>
                <w:bCs/>
                <w:kern w:val="0"/>
                <w:sz w:val="24"/>
              </w:rPr>
            </w:pPr>
            <w:r>
              <w:rPr>
                <w:rFonts w:hint="eastAsia" w:ascii="黑体" w:hAnsi="黑体" w:eastAsia="黑体" w:cs="Tahoma"/>
                <w:bCs/>
                <w:kern w:val="0"/>
                <w:sz w:val="24"/>
              </w:rPr>
              <w:t>自评</w:t>
            </w:r>
          </w:p>
        </w:tc>
        <w:tc>
          <w:tcPr>
            <w:tcW w:w="646" w:type="dxa"/>
            <w:vAlign w:val="center"/>
          </w:tcPr>
          <w:p>
            <w:pPr>
              <w:widowControl/>
              <w:snapToGrid w:val="0"/>
              <w:spacing w:line="300" w:lineRule="exact"/>
              <w:jc w:val="center"/>
              <w:rPr>
                <w:rFonts w:ascii="黑体" w:hAnsi="黑体" w:eastAsia="黑体" w:cs="Tahoma"/>
                <w:bCs/>
                <w:kern w:val="0"/>
                <w:sz w:val="24"/>
              </w:rPr>
            </w:pPr>
            <w:r>
              <w:rPr>
                <w:rFonts w:hint="eastAsia" w:ascii="黑体" w:hAnsi="黑体" w:eastAsia="黑体" w:cs="Tahoma"/>
                <w:bCs/>
                <w:kern w:val="0"/>
                <w:sz w:val="24"/>
              </w:rPr>
              <w:t>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86" w:type="dxa"/>
            <w:vMerge w:val="restart"/>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课程理念与</w:t>
            </w:r>
            <w:r>
              <w:rPr>
                <w:rFonts w:cs="Tahoma" w:asciiTheme="minorEastAsia" w:hAnsiTheme="minorEastAsia" w:eastAsiaTheme="minorEastAsia"/>
                <w:kern w:val="0"/>
                <w:sz w:val="24"/>
              </w:rPr>
              <w:t>制度</w:t>
            </w:r>
            <w:r>
              <w:rPr>
                <w:rFonts w:hint="eastAsia" w:cs="Tahoma" w:asciiTheme="minorEastAsia" w:hAnsiTheme="minorEastAsia" w:eastAsiaTheme="minorEastAsia"/>
                <w:kern w:val="0"/>
                <w:sz w:val="24"/>
              </w:rPr>
              <w:t>建设</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（18分）</w:t>
            </w:r>
          </w:p>
        </w:tc>
        <w:tc>
          <w:tcPr>
            <w:tcW w:w="1542" w:type="dxa"/>
            <w:vMerge w:val="restart"/>
            <w:vAlign w:val="center"/>
          </w:tcPr>
          <w:p>
            <w:pPr>
              <w:widowControl/>
              <w:snapToGrid w:val="0"/>
              <w:spacing w:line="300" w:lineRule="exact"/>
              <w:ind w:firstLine="240" w:firstLineChars="100"/>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办学理念</w:t>
            </w:r>
          </w:p>
          <w:p>
            <w:pPr>
              <w:widowControl/>
              <w:snapToGrid w:val="0"/>
              <w:spacing w:line="300" w:lineRule="exact"/>
              <w:jc w:val="center"/>
              <w:rPr>
                <w:rFonts w:cs="Tahoma" w:asciiTheme="minorEastAsia" w:hAnsiTheme="minorEastAsia" w:eastAsiaTheme="minorEastAsia"/>
                <w:kern w:val="0"/>
              </w:rPr>
            </w:pPr>
            <w:r>
              <w:rPr>
                <w:rFonts w:hint="eastAsia" w:cs="Tahoma" w:asciiTheme="minorEastAsia" w:hAnsiTheme="minorEastAsia" w:eastAsiaTheme="minorEastAsia"/>
                <w:kern w:val="0"/>
                <w:sz w:val="24"/>
              </w:rPr>
              <w:t xml:space="preserve"> （4分）</w:t>
            </w: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1.全面贯彻党的教育方针、落实立德树人根本任务，落实“六个下功夫”，遵循教育教学规律和学生成长规律，</w:t>
            </w:r>
            <w:r>
              <w:rPr>
                <w:rFonts w:hint="eastAsia" w:cs="Tahoma" w:asciiTheme="minorEastAsia" w:hAnsiTheme="minorEastAsia" w:eastAsiaTheme="minorEastAsia"/>
                <w:color w:val="000000" w:themeColor="text1"/>
                <w:kern w:val="0"/>
                <w:sz w:val="24"/>
                <w14:textFill>
                  <w14:solidFill>
                    <w14:schemeClr w14:val="tx1"/>
                  </w14:solidFill>
                </w14:textFill>
              </w:rPr>
              <w:t>有正确的育人目标和办学目标</w:t>
            </w:r>
            <w:r>
              <w:rPr>
                <w:rFonts w:hint="eastAsia" w:cs="Tahoma" w:asciiTheme="minorEastAsia" w:hAnsiTheme="minorEastAsia" w:eastAsiaTheme="minorEastAsia"/>
                <w:kern w:val="0"/>
                <w:sz w:val="24"/>
              </w:rPr>
              <w:t>，高度重视学生德智体美劳全面发展。（2分）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0648" w:type="dxa"/>
            <w:vAlign w:val="center"/>
          </w:tcPr>
          <w:p>
            <w:pPr>
              <w:snapToGrid w:val="0"/>
              <w:spacing w:line="300" w:lineRule="exact"/>
              <w:jc w:val="left"/>
              <w:rPr>
                <w:rFonts w:cs="Tahoma" w:asciiTheme="minorEastAsia" w:hAnsiTheme="minorEastAsia" w:eastAsiaTheme="minorEastAsia"/>
                <w:color w:val="FF0000"/>
                <w:kern w:val="0"/>
                <w:sz w:val="24"/>
              </w:rPr>
            </w:pPr>
            <w:r>
              <w:rPr>
                <w:rFonts w:hint="eastAsia" w:cs="Tahoma" w:asciiTheme="minorEastAsia" w:hAnsiTheme="minorEastAsia" w:eastAsiaTheme="minorEastAsia"/>
                <w:kern w:val="0"/>
                <w:sz w:val="24"/>
              </w:rPr>
              <w:t>2．严格执行教育法律、法规和政策，办学行为规范，树立正确的课程观和质量观，形成</w:t>
            </w:r>
            <w:r>
              <w:rPr>
                <w:rFonts w:cs="Tahoma" w:asciiTheme="minorEastAsia" w:hAnsiTheme="minorEastAsia" w:eastAsiaTheme="minorEastAsia"/>
                <w:kern w:val="0"/>
                <w:sz w:val="24"/>
              </w:rPr>
              <w:t>与</w:t>
            </w:r>
            <w:r>
              <w:rPr>
                <w:rFonts w:hint="eastAsia" w:cs="Tahoma" w:asciiTheme="minorEastAsia" w:hAnsiTheme="minorEastAsia" w:eastAsiaTheme="minorEastAsia"/>
                <w:kern w:val="0"/>
                <w:sz w:val="24"/>
              </w:rPr>
              <w:t>办学</w:t>
            </w:r>
            <w:r>
              <w:rPr>
                <w:rFonts w:cs="Tahoma" w:asciiTheme="minorEastAsia" w:hAnsiTheme="minorEastAsia" w:eastAsiaTheme="minorEastAsia"/>
                <w:kern w:val="0"/>
                <w:sz w:val="24"/>
              </w:rPr>
              <w:t>理念、</w:t>
            </w:r>
            <w:r>
              <w:rPr>
                <w:rFonts w:hint="eastAsia" w:cs="Tahoma" w:asciiTheme="minorEastAsia" w:hAnsiTheme="minorEastAsia" w:eastAsiaTheme="minorEastAsia"/>
                <w:kern w:val="0"/>
                <w:sz w:val="24"/>
              </w:rPr>
              <w:t>育人</w:t>
            </w:r>
            <w:r>
              <w:rPr>
                <w:rFonts w:cs="Tahoma" w:asciiTheme="minorEastAsia" w:hAnsiTheme="minorEastAsia" w:eastAsiaTheme="minorEastAsia"/>
                <w:kern w:val="0"/>
                <w:sz w:val="24"/>
              </w:rPr>
              <w:t>目标一致</w:t>
            </w:r>
            <w:r>
              <w:rPr>
                <w:rFonts w:hint="eastAsia" w:cs="Tahoma" w:asciiTheme="minorEastAsia" w:hAnsiTheme="minorEastAsia" w:eastAsiaTheme="minorEastAsia"/>
                <w:kern w:val="0"/>
                <w:sz w:val="24"/>
              </w:rPr>
              <w:t>的课程理念，充分体现发展学生核心素养。（2分）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Merge w:val="restart"/>
            <w:vAlign w:val="center"/>
          </w:tcPr>
          <w:p>
            <w:pPr>
              <w:snapToGrid w:val="0"/>
              <w:spacing w:line="300" w:lineRule="exact"/>
              <w:ind w:firstLine="240" w:firstLineChars="100"/>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课程规划</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（5分）</w:t>
            </w: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3.学校有基于</w:t>
            </w:r>
            <w:r>
              <w:rPr>
                <w:rFonts w:cs="Tahoma" w:asciiTheme="minorEastAsia" w:hAnsiTheme="minorEastAsia" w:eastAsiaTheme="minorEastAsia"/>
                <w:kern w:val="0"/>
                <w:sz w:val="24"/>
              </w:rPr>
              <w:t>课程改革</w:t>
            </w:r>
            <w:r>
              <w:rPr>
                <w:rFonts w:hint="eastAsia" w:cs="Tahoma" w:asciiTheme="minorEastAsia" w:hAnsiTheme="minorEastAsia" w:eastAsiaTheme="minorEastAsia"/>
                <w:kern w:val="0"/>
                <w:sz w:val="24"/>
              </w:rPr>
              <w:t>发展与建设</w:t>
            </w:r>
            <w:r>
              <w:rPr>
                <w:rFonts w:cs="Tahoma" w:asciiTheme="minorEastAsia" w:hAnsiTheme="minorEastAsia" w:eastAsiaTheme="minorEastAsia"/>
                <w:kern w:val="0"/>
                <w:sz w:val="24"/>
              </w:rPr>
              <w:t>的研究</w:t>
            </w:r>
            <w:r>
              <w:rPr>
                <w:rFonts w:hint="eastAsia" w:cs="Tahoma" w:asciiTheme="minorEastAsia" w:hAnsiTheme="minorEastAsia" w:eastAsiaTheme="minorEastAsia"/>
                <w:kern w:val="0"/>
                <w:sz w:val="24"/>
              </w:rPr>
              <w:t>课题，有初步的实践或</w:t>
            </w:r>
            <w:r>
              <w:rPr>
                <w:rFonts w:cs="Tahoma" w:asciiTheme="minorEastAsia" w:hAnsiTheme="minorEastAsia" w:eastAsiaTheme="minorEastAsia"/>
                <w:kern w:val="0"/>
                <w:sz w:val="24"/>
              </w:rPr>
              <w:t>成果</w:t>
            </w:r>
            <w:r>
              <w:rPr>
                <w:rFonts w:hint="eastAsia" w:cs="Tahoma" w:asciiTheme="minorEastAsia" w:hAnsiTheme="minorEastAsia" w:eastAsiaTheme="minorEastAsia"/>
                <w:kern w:val="0"/>
                <w:sz w:val="24"/>
              </w:rPr>
              <w:t>。（2分）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Merge w:val="continue"/>
            <w:vAlign w:val="center"/>
          </w:tcPr>
          <w:p>
            <w:pPr>
              <w:snapToGrid w:val="0"/>
              <w:spacing w:line="300" w:lineRule="exact"/>
              <w:jc w:val="center"/>
              <w:rPr>
                <w:rFonts w:cs="Tahoma" w:asciiTheme="minorEastAsia" w:hAnsiTheme="minorEastAsia" w:eastAsiaTheme="minorEastAsia"/>
                <w:kern w:val="0"/>
                <w:sz w:val="24"/>
              </w:rPr>
            </w:pP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4.有深化课程改革的整体规划，突出有效落实国家课程和地方课程、特色化开发校本课程，突出落实“六个下功夫”；有完善的课程体系，体现学科课程和道法课相互配合，课程目标、课程内容、课程设置与实施、课程评价、课程开发符合学生实际。课程改革方案规范具体，操作性强，且已取得显著成效。有分年度的课程改革工作实施计划，措施具体，责任明确。（3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管理制度</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（4分）</w:t>
            </w: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5.依据教育部《义务教育学校管理标准》，整体优化教学管理制度。有健全的课程改革管理机构；建立涵盖课程设置、课程实施、课程评价的管理办法，管理高效科学；有课程审核机制、课程建设激励机制和学生学习指导制度。（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386" w:type="dxa"/>
            <w:vMerge w:val="continue"/>
            <w:tcBorders>
              <w:bottom w:val="single" w:color="auto" w:sz="4" w:space="0"/>
            </w:tcBorders>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snapToGrid w:val="0"/>
              <w:spacing w:line="300" w:lineRule="exact"/>
              <w:ind w:firstLine="240" w:firstLineChars="100"/>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资源建设</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（5分）</w:t>
            </w: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6</w:t>
            </w: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校园环境、实验室、专用教室、综合实践活动专用活动室、图书和信息化资源满足课程开设需要，校园环境建设和教学场所设计与应用有内涵、有特色；积极拓展校内外劳动与实践育人活动场所，满足学生开展综合实践活动及劳动教育的需要。（5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86" w:type="dxa"/>
            <w:vMerge w:val="restart"/>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课程</w:t>
            </w:r>
            <w:r>
              <w:rPr>
                <w:rFonts w:cs="Tahoma" w:asciiTheme="minorEastAsia" w:hAnsiTheme="minorEastAsia" w:eastAsiaTheme="minorEastAsia"/>
                <w:kern w:val="0"/>
                <w:sz w:val="24"/>
              </w:rPr>
              <w:t>实施</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（23分）</w:t>
            </w:r>
          </w:p>
        </w:tc>
        <w:tc>
          <w:tcPr>
            <w:tcW w:w="1542" w:type="dxa"/>
            <w:vMerge w:val="restart"/>
            <w:vAlign w:val="center"/>
          </w:tcPr>
          <w:p>
            <w:pPr>
              <w:widowControl/>
              <w:spacing w:line="300" w:lineRule="exact"/>
              <w:ind w:firstLine="240" w:firstLineChars="100"/>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国家课程</w:t>
            </w:r>
          </w:p>
          <w:p>
            <w:pPr>
              <w:widowControl/>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 xml:space="preserve"> （13分）</w:t>
            </w:r>
          </w:p>
        </w:tc>
        <w:tc>
          <w:tcPr>
            <w:tcW w:w="10648" w:type="dxa"/>
            <w:vAlign w:val="center"/>
          </w:tcPr>
          <w:p>
            <w:pPr>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7.按照《辽宁省义务教育课程设置方案（2016年修订）》要求，以及国家新要求，配齐配全学科教师，开齐开全国家课程。（2分）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Merge w:val="continue"/>
            <w:vAlign w:val="center"/>
          </w:tcPr>
          <w:p>
            <w:pPr>
              <w:widowControl/>
              <w:spacing w:line="300" w:lineRule="exact"/>
              <w:jc w:val="center"/>
              <w:rPr>
                <w:rFonts w:cs="Tahoma" w:asciiTheme="minorEastAsia" w:hAnsiTheme="minorEastAsia" w:eastAsiaTheme="minorEastAsia"/>
                <w:kern w:val="0"/>
                <w:sz w:val="24"/>
              </w:rPr>
            </w:pPr>
          </w:p>
        </w:tc>
        <w:tc>
          <w:tcPr>
            <w:tcW w:w="10648" w:type="dxa"/>
            <w:vAlign w:val="center"/>
          </w:tcPr>
          <w:p>
            <w:pPr>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8.落实国家课程方案和课程标准，实施“学科育人”，准确把握各不同年龄段学生学习的深度和广度，把思想品德要求、核心素养培养和学业质量要求具体落实到各学科课程建设和教学实践中，并有效</w:t>
            </w:r>
            <w:r>
              <w:rPr>
                <w:rFonts w:cs="Tahoma" w:asciiTheme="minorEastAsia" w:hAnsiTheme="minorEastAsia" w:eastAsiaTheme="minorEastAsia"/>
                <w:kern w:val="0"/>
                <w:sz w:val="24"/>
              </w:rPr>
              <w:t>实施。</w:t>
            </w:r>
            <w:r>
              <w:rPr>
                <w:rFonts w:hint="eastAsia" w:cs="Tahoma" w:asciiTheme="minorEastAsia" w:hAnsiTheme="minorEastAsia" w:eastAsiaTheme="minorEastAsia"/>
                <w:kern w:val="0"/>
                <w:sz w:val="24"/>
              </w:rPr>
              <w:t>（4分）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Merge w:val="continue"/>
            <w:vAlign w:val="center"/>
          </w:tcPr>
          <w:p>
            <w:pPr>
              <w:widowControl/>
              <w:spacing w:line="300" w:lineRule="exact"/>
              <w:jc w:val="center"/>
              <w:rPr>
                <w:rFonts w:cs="Tahoma" w:asciiTheme="minorEastAsia" w:hAnsiTheme="minorEastAsia" w:eastAsiaTheme="minorEastAsia"/>
                <w:kern w:val="0"/>
                <w:sz w:val="24"/>
              </w:rPr>
            </w:pPr>
          </w:p>
        </w:tc>
        <w:tc>
          <w:tcPr>
            <w:tcW w:w="10648" w:type="dxa"/>
            <w:vAlign w:val="center"/>
          </w:tcPr>
          <w:p>
            <w:pPr>
              <w:spacing w:line="300" w:lineRule="exact"/>
              <w:jc w:val="left"/>
              <w:rPr>
                <w:rFonts w:cs="Tahoma" w:asciiTheme="minorEastAsia" w:hAnsiTheme="minorEastAsia" w:eastAsiaTheme="minorEastAsia"/>
                <w:color w:val="FF0000"/>
                <w:kern w:val="0"/>
                <w:sz w:val="24"/>
              </w:rPr>
            </w:pPr>
            <w:r>
              <w:rPr>
                <w:rFonts w:hint="eastAsia" w:cs="Tahoma" w:asciiTheme="minorEastAsia" w:hAnsiTheme="minorEastAsia" w:eastAsiaTheme="minorEastAsia"/>
                <w:kern w:val="0"/>
                <w:sz w:val="24"/>
              </w:rPr>
              <w:t>9.组织</w:t>
            </w:r>
            <w:r>
              <w:rPr>
                <w:rFonts w:cs="Tahoma" w:asciiTheme="minorEastAsia" w:hAnsiTheme="minorEastAsia" w:eastAsiaTheme="minorEastAsia"/>
                <w:kern w:val="0"/>
                <w:sz w:val="24"/>
              </w:rPr>
              <w:t>全校教师</w:t>
            </w:r>
            <w:r>
              <w:rPr>
                <w:rFonts w:hint="eastAsia" w:cs="Tahoma" w:asciiTheme="minorEastAsia" w:hAnsiTheme="minorEastAsia" w:eastAsiaTheme="minorEastAsia"/>
                <w:kern w:val="0"/>
                <w:sz w:val="24"/>
              </w:rPr>
              <w:t>学习</w:t>
            </w:r>
            <w:r>
              <w:rPr>
                <w:rFonts w:cs="Tahoma" w:asciiTheme="minorEastAsia" w:hAnsiTheme="minorEastAsia" w:eastAsiaTheme="minorEastAsia"/>
                <w:kern w:val="0"/>
                <w:sz w:val="24"/>
              </w:rPr>
              <w:t>和</w:t>
            </w:r>
            <w:r>
              <w:rPr>
                <w:rFonts w:hint="eastAsia" w:cs="Tahoma" w:asciiTheme="minorEastAsia" w:hAnsiTheme="minorEastAsia" w:eastAsiaTheme="minorEastAsia"/>
                <w:kern w:val="0"/>
                <w:sz w:val="24"/>
              </w:rPr>
              <w:t>落实习近平总书记《思政课是落实立德树人根本任务的关键课程》及教育部《中小学综合实践活动课程指导纲要》《大中小学劳动教育课程指导纲要（试行）》要求</w:t>
            </w: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对道法课、综合实践活动课程及劳动教育课程精心组织、整体设计，综合实施水平</w:t>
            </w:r>
            <w:r>
              <w:rPr>
                <w:rFonts w:cs="Tahoma" w:asciiTheme="minorEastAsia" w:hAnsiTheme="minorEastAsia" w:eastAsiaTheme="minorEastAsia"/>
                <w:kern w:val="0"/>
                <w:sz w:val="24"/>
              </w:rPr>
              <w:t>高</w:t>
            </w:r>
            <w:r>
              <w:rPr>
                <w:rFonts w:hint="eastAsia" w:cs="Tahoma" w:asciiTheme="minorEastAsia" w:hAnsiTheme="minorEastAsia" w:eastAsiaTheme="minorEastAsia"/>
                <w:kern w:val="0"/>
                <w:sz w:val="24"/>
              </w:rPr>
              <w:t>。（4分）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Merge w:val="continue"/>
            <w:vAlign w:val="center"/>
          </w:tcPr>
          <w:p>
            <w:pPr>
              <w:widowControl/>
              <w:spacing w:line="300" w:lineRule="exact"/>
              <w:jc w:val="center"/>
              <w:rPr>
                <w:rFonts w:cs="Tahoma" w:asciiTheme="minorEastAsia" w:hAnsiTheme="minorEastAsia" w:eastAsiaTheme="minorEastAsia"/>
                <w:kern w:val="0"/>
                <w:sz w:val="24"/>
              </w:rPr>
            </w:pPr>
          </w:p>
        </w:tc>
        <w:tc>
          <w:tcPr>
            <w:tcW w:w="10648" w:type="dxa"/>
            <w:vAlign w:val="center"/>
          </w:tcPr>
          <w:p>
            <w:pPr>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10.在</w:t>
            </w:r>
            <w:r>
              <w:rPr>
                <w:rFonts w:cs="Tahoma" w:asciiTheme="minorEastAsia" w:hAnsiTheme="minorEastAsia" w:eastAsiaTheme="minorEastAsia"/>
                <w:kern w:val="0"/>
                <w:sz w:val="24"/>
              </w:rPr>
              <w:t>不增加学科总课时的前提下，用不少于</w:t>
            </w:r>
            <w:r>
              <w:rPr>
                <w:rFonts w:hint="eastAsia" w:cs="Tahoma" w:asciiTheme="minorEastAsia" w:hAnsiTheme="minorEastAsia" w:eastAsiaTheme="minorEastAsia"/>
                <w:kern w:val="0"/>
                <w:sz w:val="24"/>
              </w:rPr>
              <w:t>10</w:t>
            </w:r>
            <w:r>
              <w:rPr>
                <w:rFonts w:cs="Tahoma" w:asciiTheme="minorEastAsia" w:hAnsiTheme="minorEastAsia" w:eastAsiaTheme="minorEastAsia"/>
                <w:kern w:val="0"/>
                <w:sz w:val="24"/>
              </w:rPr>
              <w:t>%的课时开展各学科的学科实践活动</w:t>
            </w:r>
            <w:r>
              <w:rPr>
                <w:rFonts w:hint="eastAsia" w:cs="Tahoma" w:asciiTheme="minorEastAsia" w:hAnsiTheme="minorEastAsia" w:eastAsiaTheme="minorEastAsia"/>
                <w:kern w:val="0"/>
                <w:sz w:val="24"/>
              </w:rPr>
              <w:t>；注重增强学生创新精神和实践能力的培养；学科实践活动形成体系，有学科内涵，实施效果良好。（3分）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地方课程</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（5分）</w:t>
            </w:r>
          </w:p>
        </w:tc>
        <w:tc>
          <w:tcPr>
            <w:tcW w:w="10648" w:type="dxa"/>
            <w:vAlign w:val="center"/>
          </w:tcPr>
          <w:p>
            <w:pPr>
              <w:widowControl/>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11.落实《辽宁省义务教育地方课程指导纲要》要求</w:t>
            </w: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积极</w:t>
            </w:r>
            <w:r>
              <w:rPr>
                <w:rFonts w:cs="Tahoma" w:asciiTheme="minorEastAsia" w:hAnsiTheme="minorEastAsia" w:eastAsiaTheme="minorEastAsia"/>
                <w:kern w:val="0"/>
                <w:sz w:val="24"/>
              </w:rPr>
              <w:t>完善地方课程管理制度，</w:t>
            </w:r>
            <w:r>
              <w:rPr>
                <w:rFonts w:hint="eastAsia" w:cs="Tahoma" w:asciiTheme="minorEastAsia" w:hAnsiTheme="minorEastAsia" w:eastAsiaTheme="minorEastAsia"/>
                <w:kern w:val="0"/>
                <w:sz w:val="24"/>
              </w:rPr>
              <w:t>合理安排地方课程教师，在</w:t>
            </w:r>
            <w:r>
              <w:rPr>
                <w:rFonts w:cs="Tahoma" w:asciiTheme="minorEastAsia" w:hAnsiTheme="minorEastAsia" w:eastAsiaTheme="minorEastAsia"/>
                <w:kern w:val="0"/>
                <w:sz w:val="24"/>
              </w:rPr>
              <w:t>地方课程</w:t>
            </w:r>
            <w:r>
              <w:rPr>
                <w:rFonts w:hint="eastAsia" w:cs="Tahoma" w:asciiTheme="minorEastAsia" w:hAnsiTheme="minorEastAsia" w:eastAsiaTheme="minorEastAsia"/>
                <w:kern w:val="0"/>
                <w:sz w:val="24"/>
              </w:rPr>
              <w:t>实施与评价上特色鲜明、成效</w:t>
            </w:r>
            <w:r>
              <w:rPr>
                <w:rFonts w:cs="Tahoma" w:asciiTheme="minorEastAsia" w:hAnsiTheme="minorEastAsia" w:eastAsiaTheme="minorEastAsia"/>
                <w:kern w:val="0"/>
                <w:sz w:val="24"/>
              </w:rPr>
              <w:t>显著。</w:t>
            </w:r>
            <w:r>
              <w:rPr>
                <w:rFonts w:hint="eastAsia" w:cs="Tahoma" w:asciiTheme="minorEastAsia" w:hAnsiTheme="minorEastAsia" w:eastAsiaTheme="minorEastAsia"/>
                <w:kern w:val="0"/>
                <w:sz w:val="24"/>
              </w:rPr>
              <w:t>（5分）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校本课程</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（5分）</w:t>
            </w: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12.依据《辽宁省教育厅关于加强义务教育校本课程建设的指导意见》，积极构建有内涵、有特色、充满活力的校本课程体系，形成完整的课程设置、课程实施、课程评价的管理机制。（5分）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86" w:type="dxa"/>
            <w:vMerge w:val="restart"/>
            <w:tcBorders>
              <w:top w:val="single" w:color="auto" w:sz="4" w:space="0"/>
            </w:tcBorders>
            <w:vAlign w:val="center"/>
          </w:tcPr>
          <w:p>
            <w:pPr>
              <w:widowControl/>
              <w:snapToGrid w:val="0"/>
              <w:spacing w:line="300" w:lineRule="exact"/>
              <w:jc w:val="center"/>
              <w:rPr>
                <w:rFonts w:cs="Tahoma" w:asciiTheme="minorEastAsia" w:hAnsiTheme="minorEastAsia" w:eastAsiaTheme="minorEastAsia"/>
                <w:kern w:val="0"/>
                <w:sz w:val="24"/>
              </w:rPr>
            </w:pPr>
            <w:r>
              <w:rPr>
                <w:rFonts w:cs="Tahoma" w:asciiTheme="minorEastAsia" w:hAnsiTheme="minorEastAsia" w:eastAsiaTheme="minorEastAsia"/>
                <w:kern w:val="0"/>
                <w:sz w:val="24"/>
              </w:rPr>
              <w:t>教学改革</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（23分）</w:t>
            </w:r>
          </w:p>
        </w:tc>
        <w:tc>
          <w:tcPr>
            <w:tcW w:w="1542" w:type="dxa"/>
            <w:vMerge w:val="restart"/>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教学研究</w:t>
            </w:r>
          </w:p>
          <w:p>
            <w:pPr>
              <w:widowControl/>
              <w:snapToGrid w:val="0"/>
              <w:spacing w:line="300" w:lineRule="exact"/>
              <w:ind w:firstLine="240" w:firstLineChars="100"/>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（6分）</w:t>
            </w: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13.学校在教学改革的重点领域和关键环节有研究、有探索，有具有前瞻性的教学改革研究与实践项目，形成具有学校特色的教学改革实施模式。（3分）</w:t>
            </w:r>
          </w:p>
        </w:tc>
        <w:tc>
          <w:tcPr>
            <w:tcW w:w="613" w:type="dxa"/>
            <w:vAlign w:val="center"/>
          </w:tcPr>
          <w:p>
            <w:pPr>
              <w:snapToGrid w:val="0"/>
              <w:spacing w:line="300" w:lineRule="exact"/>
              <w:jc w:val="center"/>
              <w:rPr>
                <w:rFonts w:ascii="仿宋_GB2312" w:hAnsi="楷体" w:cs="Tahoma"/>
                <w:kern w:val="0"/>
                <w:sz w:val="24"/>
              </w:rPr>
            </w:pPr>
          </w:p>
        </w:tc>
        <w:tc>
          <w:tcPr>
            <w:tcW w:w="646" w:type="dxa"/>
            <w:vAlign w:val="center"/>
          </w:tcPr>
          <w:p>
            <w:pPr>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86" w:type="dxa"/>
            <w:vMerge w:val="continue"/>
            <w:tcBorders>
              <w:top w:val="single" w:color="auto" w:sz="4" w:space="0"/>
            </w:tcBorders>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14.教师积极主持（或参与）课程建设</w:t>
            </w:r>
            <w:r>
              <w:rPr>
                <w:rFonts w:cs="Tahoma" w:asciiTheme="minorEastAsia" w:hAnsiTheme="minorEastAsia" w:eastAsiaTheme="minorEastAsia"/>
                <w:kern w:val="0"/>
                <w:sz w:val="24"/>
              </w:rPr>
              <w:t>与</w:t>
            </w:r>
            <w:r>
              <w:rPr>
                <w:rFonts w:hint="eastAsia" w:cs="Tahoma" w:asciiTheme="minorEastAsia" w:hAnsiTheme="minorEastAsia" w:eastAsiaTheme="minorEastAsia"/>
                <w:kern w:val="0"/>
                <w:sz w:val="24"/>
              </w:rPr>
              <w:t>教学改革方面</w:t>
            </w:r>
            <w:r>
              <w:rPr>
                <w:rFonts w:cs="Tahoma" w:asciiTheme="minorEastAsia" w:hAnsiTheme="minorEastAsia" w:eastAsiaTheme="minorEastAsia"/>
                <w:kern w:val="0"/>
                <w:sz w:val="24"/>
              </w:rPr>
              <w:t>的课题研究，</w:t>
            </w:r>
            <w:r>
              <w:rPr>
                <w:rFonts w:hint="eastAsia" w:cs="Tahoma" w:asciiTheme="minorEastAsia" w:hAnsiTheme="minorEastAsia" w:eastAsiaTheme="minorEastAsia"/>
                <w:kern w:val="0"/>
                <w:sz w:val="24"/>
              </w:rPr>
              <w:t>数量</w:t>
            </w:r>
            <w:r>
              <w:rPr>
                <w:rFonts w:cs="Tahoma" w:asciiTheme="minorEastAsia" w:hAnsiTheme="minorEastAsia" w:eastAsiaTheme="minorEastAsia"/>
                <w:kern w:val="0"/>
                <w:sz w:val="24"/>
              </w:rPr>
              <w:t>不少于</w:t>
            </w:r>
            <w:r>
              <w:rPr>
                <w:rFonts w:hint="eastAsia" w:cs="Tahoma" w:asciiTheme="minorEastAsia" w:hAnsiTheme="minorEastAsia" w:eastAsiaTheme="minorEastAsia"/>
                <w:kern w:val="0"/>
                <w:sz w:val="24"/>
              </w:rPr>
              <w:t>课题</w:t>
            </w:r>
            <w:r>
              <w:rPr>
                <w:rFonts w:cs="Tahoma" w:asciiTheme="minorEastAsia" w:hAnsiTheme="minorEastAsia" w:eastAsiaTheme="minorEastAsia"/>
                <w:kern w:val="0"/>
                <w:sz w:val="24"/>
              </w:rPr>
              <w:t>研究总</w:t>
            </w:r>
            <w:r>
              <w:rPr>
                <w:rFonts w:hint="eastAsia" w:cs="Tahoma" w:asciiTheme="minorEastAsia" w:hAnsiTheme="minorEastAsia" w:eastAsiaTheme="minorEastAsia"/>
                <w:kern w:val="0"/>
                <w:sz w:val="24"/>
              </w:rPr>
              <w:t>人</w:t>
            </w:r>
            <w:r>
              <w:rPr>
                <w:rFonts w:cs="Tahoma" w:asciiTheme="minorEastAsia" w:hAnsiTheme="minorEastAsia" w:eastAsiaTheme="minorEastAsia"/>
                <w:kern w:val="0"/>
                <w:sz w:val="24"/>
              </w:rPr>
              <w:t>数的1</w:t>
            </w:r>
            <w:r>
              <w:rPr>
                <w:rFonts w:hint="eastAsia" w:cs="Tahoma" w:asciiTheme="minorEastAsia" w:hAnsiTheme="minorEastAsia" w:eastAsiaTheme="minorEastAsia"/>
                <w:kern w:val="0"/>
                <w:sz w:val="24"/>
              </w:rPr>
              <w:t>/3。（3分）</w:t>
            </w:r>
          </w:p>
        </w:tc>
        <w:tc>
          <w:tcPr>
            <w:tcW w:w="613" w:type="dxa"/>
            <w:vAlign w:val="center"/>
          </w:tcPr>
          <w:p>
            <w:pPr>
              <w:snapToGrid w:val="0"/>
              <w:spacing w:line="300" w:lineRule="exact"/>
              <w:jc w:val="center"/>
              <w:rPr>
                <w:rFonts w:ascii="仿宋_GB2312" w:hAnsi="楷体" w:cs="Tahoma"/>
                <w:kern w:val="0"/>
                <w:sz w:val="24"/>
              </w:rPr>
            </w:pPr>
          </w:p>
        </w:tc>
        <w:tc>
          <w:tcPr>
            <w:tcW w:w="646" w:type="dxa"/>
            <w:vAlign w:val="center"/>
          </w:tcPr>
          <w:p>
            <w:pPr>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教学方式</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（7分）</w:t>
            </w:r>
          </w:p>
        </w:tc>
        <w:tc>
          <w:tcPr>
            <w:tcW w:w="10648" w:type="dxa"/>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15.注重启发式、互动式、探究式教学，注重教学与生活实践相联系，注重增长学生见识、丰富学生学识；以学生为中心，精准分析学情，重视差异化教学和个别化指导，教学方法灵活，教学形式多样，呈现一批新样态的智慧课堂，课堂教学质量高。（7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学习</w:t>
            </w:r>
            <w:r>
              <w:rPr>
                <w:rFonts w:cs="Tahoma" w:asciiTheme="minorEastAsia" w:hAnsiTheme="minorEastAsia" w:eastAsiaTheme="minorEastAsia"/>
                <w:kern w:val="0"/>
                <w:sz w:val="24"/>
              </w:rPr>
              <w:t>方式</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（6分）</w:t>
            </w:r>
          </w:p>
        </w:tc>
        <w:tc>
          <w:tcPr>
            <w:tcW w:w="10648" w:type="dxa"/>
            <w:vAlign w:val="center"/>
          </w:tcPr>
          <w:p>
            <w:pPr>
              <w:snapToGrid w:val="0"/>
              <w:spacing w:line="300" w:lineRule="exact"/>
              <w:jc w:val="left"/>
              <w:rPr>
                <w:rFonts w:cs="Tahoma" w:asciiTheme="minorEastAsia" w:hAnsiTheme="minorEastAsia" w:eastAsiaTheme="minorEastAsia"/>
                <w:color w:val="FF0000"/>
                <w:kern w:val="0"/>
                <w:sz w:val="24"/>
              </w:rPr>
            </w:pPr>
            <w:r>
              <w:rPr>
                <w:rFonts w:hint="eastAsia" w:cs="Tahoma" w:asciiTheme="minorEastAsia" w:hAnsiTheme="minorEastAsia" w:eastAsiaTheme="minorEastAsia"/>
                <w:kern w:val="0"/>
                <w:sz w:val="24"/>
              </w:rPr>
              <w:t>16.注重增强学生学习的主体性和主动性，指导学生掌握</w:t>
            </w:r>
            <w:r>
              <w:rPr>
                <w:rFonts w:cs="Tahoma" w:asciiTheme="minorEastAsia" w:hAnsiTheme="minorEastAsia" w:eastAsiaTheme="minorEastAsia"/>
                <w:kern w:val="0"/>
                <w:sz w:val="24"/>
              </w:rPr>
              <w:t>科学的学习方法，</w:t>
            </w:r>
            <w:r>
              <w:rPr>
                <w:rFonts w:hint="eastAsia" w:cs="Tahoma" w:asciiTheme="minorEastAsia" w:hAnsiTheme="minorEastAsia" w:eastAsiaTheme="minorEastAsia"/>
                <w:kern w:val="0"/>
                <w:sz w:val="24"/>
              </w:rPr>
              <w:t>善于自主、合作、探究式学习。（6分）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信息技术与</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教学深度融合</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（4分）</w:t>
            </w:r>
          </w:p>
        </w:tc>
        <w:tc>
          <w:tcPr>
            <w:tcW w:w="10648" w:type="dxa"/>
            <w:vAlign w:val="center"/>
          </w:tcPr>
          <w:p>
            <w:pPr>
              <w:snapToGrid w:val="0"/>
              <w:spacing w:line="4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17.创建整合运用传统与现代技术手段，重视情境教学的新型教学模式，创设有利于个性化学习的开放性学习环境，实现教学内容的呈现方式、教师的教学方式、学生的学习方式和师生互动方式变革，促进信息技术与课堂教学的深度融合。（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86" w:type="dxa"/>
            <w:vMerge w:val="restart"/>
            <w:shd w:val="clear" w:color="000000" w:fill="FFFFFF"/>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教师发展与</w:t>
            </w:r>
          </w:p>
          <w:p>
            <w:pPr>
              <w:widowControl/>
              <w:snapToGrid w:val="0"/>
              <w:spacing w:line="300" w:lineRule="exact"/>
              <w:jc w:val="center"/>
              <w:rPr>
                <w:rFonts w:cs="Tahoma" w:asciiTheme="minorEastAsia" w:hAnsiTheme="minorEastAsia" w:eastAsiaTheme="minorEastAsia"/>
                <w:kern w:val="0"/>
                <w:sz w:val="24"/>
              </w:rPr>
            </w:pPr>
            <w:r>
              <w:rPr>
                <w:rFonts w:cs="Tahoma" w:asciiTheme="minorEastAsia" w:hAnsiTheme="minorEastAsia" w:eastAsiaTheme="minorEastAsia"/>
                <w:kern w:val="0"/>
                <w:sz w:val="24"/>
              </w:rPr>
              <w:t>学生评价</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（18分）</w:t>
            </w:r>
          </w:p>
        </w:tc>
        <w:tc>
          <w:tcPr>
            <w:tcW w:w="1542" w:type="dxa"/>
            <w:shd w:val="clear" w:color="auto" w:fill="auto"/>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教师培训</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（4分）</w:t>
            </w:r>
          </w:p>
        </w:tc>
        <w:tc>
          <w:tcPr>
            <w:tcW w:w="10648" w:type="dxa"/>
            <w:shd w:val="clear" w:color="auto" w:fill="auto"/>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18.有切实可行的促进教师师德建设和专业发展的培训计划，每学期组织全校教师参加的校本培训不</w:t>
            </w:r>
          </w:p>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少于2次，学科带头人、骨干教师和青年教师培养有切实措施并得到落实。（4分）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86" w:type="dxa"/>
            <w:vMerge w:val="continue"/>
            <w:shd w:val="clear" w:color="000000" w:fill="FFFFFF"/>
            <w:vAlign w:val="center"/>
          </w:tcPr>
          <w:p>
            <w:pPr>
              <w:snapToGrid w:val="0"/>
              <w:spacing w:line="300" w:lineRule="exact"/>
              <w:jc w:val="center"/>
              <w:rPr>
                <w:rFonts w:cs="Tahoma" w:asciiTheme="minorEastAsia" w:hAnsiTheme="minorEastAsia" w:eastAsiaTheme="minorEastAsia"/>
                <w:kern w:val="0"/>
                <w:sz w:val="24"/>
              </w:rPr>
            </w:pPr>
          </w:p>
        </w:tc>
        <w:tc>
          <w:tcPr>
            <w:tcW w:w="1542" w:type="dxa"/>
            <w:shd w:val="clear" w:color="auto" w:fill="auto"/>
            <w:vAlign w:val="center"/>
          </w:tcPr>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校本教研</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（5分）</w:t>
            </w:r>
          </w:p>
        </w:tc>
        <w:tc>
          <w:tcPr>
            <w:tcW w:w="10648" w:type="dxa"/>
            <w:shd w:val="clear" w:color="auto" w:fill="auto"/>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19.积极开展课程实施的校本研究，学科教师专业建设和教研组活动适应课程实施需求；形成具学科特色和学术水准的校本研修模式与实施策略。（5分）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386" w:type="dxa"/>
            <w:vMerge w:val="continue"/>
            <w:shd w:val="clear" w:color="000000" w:fill="FFFFFF"/>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shd w:val="clear" w:color="auto" w:fill="auto"/>
            <w:vAlign w:val="center"/>
          </w:tcPr>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教师评价</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（4分）</w:t>
            </w:r>
          </w:p>
        </w:tc>
        <w:tc>
          <w:tcPr>
            <w:tcW w:w="10648" w:type="dxa"/>
            <w:shd w:val="clear" w:color="auto" w:fill="auto"/>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20.学校建立符合课改精神，有利于促进教师不断提高专业水平、寻求主动发展的教师评价体系。考核评价办法科学、全面，能充分调动教师课改积极性。学校对班主任队伍建设、管理、培养、评价有制度、有措施、有落实、有效果。（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86" w:type="dxa"/>
            <w:vMerge w:val="continue"/>
            <w:shd w:val="clear" w:color="000000" w:fill="FFFFFF"/>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shd w:val="clear" w:color="auto" w:fill="auto"/>
            <w:vAlign w:val="center"/>
          </w:tcPr>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学生综合素质评价</w:t>
            </w:r>
          </w:p>
          <w:p>
            <w:pPr>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（5分）</w:t>
            </w:r>
          </w:p>
        </w:tc>
        <w:tc>
          <w:tcPr>
            <w:tcW w:w="10648" w:type="dxa"/>
            <w:shd w:val="clear" w:color="auto" w:fill="auto"/>
            <w:vAlign w:val="center"/>
          </w:tcPr>
          <w:p>
            <w:pPr>
              <w:snapToGrid w:val="0"/>
              <w:spacing w:line="300" w:lineRule="exact"/>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21.</w:t>
            </w:r>
            <w:r>
              <w:rPr>
                <w:rFonts w:cs="Tahoma" w:asciiTheme="minorEastAsia" w:hAnsiTheme="minorEastAsia" w:eastAsiaTheme="minorEastAsia"/>
                <w:kern w:val="0"/>
                <w:sz w:val="24"/>
              </w:rPr>
              <w:t>构建</w:t>
            </w:r>
            <w:r>
              <w:rPr>
                <w:rFonts w:hint="eastAsia" w:cs="Tahoma" w:asciiTheme="minorEastAsia" w:hAnsiTheme="minorEastAsia" w:eastAsiaTheme="minorEastAsia"/>
                <w:kern w:val="0"/>
                <w:sz w:val="24"/>
              </w:rPr>
              <w:t>起</w:t>
            </w:r>
            <w:r>
              <w:rPr>
                <w:rFonts w:cs="Tahoma" w:asciiTheme="minorEastAsia" w:hAnsiTheme="minorEastAsia" w:eastAsiaTheme="minorEastAsia"/>
                <w:kern w:val="0"/>
                <w:sz w:val="24"/>
              </w:rPr>
              <w:t>学生综合素质评价体系</w:t>
            </w:r>
            <w:r>
              <w:rPr>
                <w:rFonts w:hint="eastAsia" w:cs="Tahoma" w:asciiTheme="minorEastAsia" w:hAnsiTheme="minorEastAsia" w:eastAsiaTheme="minorEastAsia"/>
                <w:kern w:val="0"/>
                <w:sz w:val="24"/>
              </w:rPr>
              <w:t>和评价标准，体现</w:t>
            </w:r>
            <w:r>
              <w:rPr>
                <w:rFonts w:cs="Tahoma" w:asciiTheme="minorEastAsia" w:hAnsiTheme="minorEastAsia" w:eastAsiaTheme="minorEastAsia"/>
                <w:kern w:val="0"/>
                <w:sz w:val="24"/>
              </w:rPr>
              <w:t>过程性</w:t>
            </w:r>
            <w:r>
              <w:rPr>
                <w:rFonts w:hint="eastAsia" w:cs="Tahoma" w:asciiTheme="minorEastAsia" w:hAnsiTheme="minorEastAsia" w:eastAsiaTheme="minorEastAsia"/>
                <w:kern w:val="0"/>
                <w:sz w:val="24"/>
              </w:rPr>
              <w:t>评价，全面、真实、科学地评价学生的综合</w:t>
            </w:r>
            <w:r>
              <w:rPr>
                <w:rFonts w:cs="Tahoma" w:asciiTheme="minorEastAsia" w:hAnsiTheme="minorEastAsia" w:eastAsiaTheme="minorEastAsia"/>
                <w:kern w:val="0"/>
                <w:sz w:val="24"/>
              </w:rPr>
              <w:t>素质</w:t>
            </w:r>
            <w:r>
              <w:rPr>
                <w:rFonts w:hint="eastAsia" w:cs="Tahoma" w:asciiTheme="minorEastAsia" w:hAnsiTheme="minorEastAsia" w:eastAsiaTheme="minorEastAsia"/>
                <w:kern w:val="0"/>
                <w:sz w:val="24"/>
              </w:rPr>
              <w:t>和核心素养发展水平。</w:t>
            </w:r>
            <w:r>
              <w:rPr>
                <w:rFonts w:cs="Tahoma" w:asciiTheme="minorEastAsia" w:hAnsiTheme="minorEastAsia" w:eastAsiaTheme="minorEastAsia"/>
                <w:kern w:val="0"/>
                <w:sz w:val="24"/>
              </w:rPr>
              <w:t>实施地方课程与校本课程学习评价。</w:t>
            </w:r>
            <w:r>
              <w:rPr>
                <w:rFonts w:hint="eastAsia" w:cs="Tahoma" w:asciiTheme="minorEastAsia" w:hAnsiTheme="minorEastAsia" w:eastAsiaTheme="minorEastAsia"/>
                <w:kern w:val="0"/>
                <w:sz w:val="24"/>
              </w:rPr>
              <w:t>（5分）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6" w:type="dxa"/>
            <w:vMerge w:val="restart"/>
            <w:vAlign w:val="center"/>
          </w:tcPr>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特色发展与</w:t>
            </w:r>
          </w:p>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示范引领</w:t>
            </w:r>
          </w:p>
          <w:p>
            <w:pPr>
              <w:widowControl/>
              <w:snapToGrid w:val="0"/>
              <w:spacing w:line="300" w:lineRule="exact"/>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（18分）</w:t>
            </w:r>
          </w:p>
        </w:tc>
        <w:tc>
          <w:tcPr>
            <w:tcW w:w="1542" w:type="dxa"/>
            <w:vAlign w:val="center"/>
          </w:tcPr>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课程特色</w:t>
            </w:r>
          </w:p>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（4分）</w:t>
            </w:r>
          </w:p>
        </w:tc>
        <w:tc>
          <w:tcPr>
            <w:tcW w:w="10648" w:type="dxa"/>
            <w:vAlign w:val="center"/>
          </w:tcPr>
          <w:p>
            <w:pPr>
              <w:widowControl/>
              <w:snapToGrid w:val="0"/>
              <w:spacing w:line="276" w:lineRule="auto"/>
              <w:jc w:val="left"/>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22.学校有明确的课程理念和课程目标，构建基于本校特色的课程体系。（4分）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课堂特色</w:t>
            </w:r>
          </w:p>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（4分）</w:t>
            </w:r>
          </w:p>
        </w:tc>
        <w:tc>
          <w:tcPr>
            <w:tcW w:w="10648" w:type="dxa"/>
            <w:vAlign w:val="center"/>
          </w:tcPr>
          <w:p>
            <w:pPr>
              <w:widowControl/>
              <w:snapToGrid w:val="0"/>
              <w:spacing w:line="276" w:lineRule="auto"/>
              <w:jc w:val="left"/>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23.学校有明确的课堂教学理念、课堂教学流程，形成具有学校特色的课堂教学模式。（4分）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区域影响</w:t>
            </w:r>
          </w:p>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（5分）</w:t>
            </w:r>
          </w:p>
        </w:tc>
        <w:tc>
          <w:tcPr>
            <w:tcW w:w="10648" w:type="dxa"/>
            <w:vAlign w:val="center"/>
          </w:tcPr>
          <w:p>
            <w:pPr>
              <w:widowControl/>
              <w:snapToGrid w:val="0"/>
              <w:spacing w:line="276" w:lineRule="auto"/>
              <w:jc w:val="left"/>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24.在课程开发、课程实施、课程评价和教师队伍建设等方面有所创新并形成自己的特色，在本地区内进行展示和推广。课程</w:t>
            </w:r>
            <w:r>
              <w:rPr>
                <w:rFonts w:cs="Tahoma" w:asciiTheme="minorEastAsia" w:hAnsiTheme="minorEastAsia" w:eastAsiaTheme="minorEastAsia"/>
                <w:color w:val="000000" w:themeColor="text1"/>
                <w:kern w:val="0"/>
                <w:sz w:val="24"/>
                <w14:textFill>
                  <w14:solidFill>
                    <w14:schemeClr w14:val="tx1"/>
                  </w14:solidFill>
                </w14:textFill>
              </w:rPr>
              <w:t>改革</w:t>
            </w:r>
            <w:r>
              <w:rPr>
                <w:rFonts w:hint="eastAsia" w:cs="Tahoma" w:asciiTheme="minorEastAsia" w:hAnsiTheme="minorEastAsia" w:eastAsiaTheme="minorEastAsia"/>
                <w:color w:val="000000" w:themeColor="text1"/>
                <w:kern w:val="0"/>
                <w:sz w:val="24"/>
                <w14:textFill>
                  <w14:solidFill>
                    <w14:schemeClr w14:val="tx1"/>
                  </w14:solidFill>
                </w14:textFill>
              </w:rPr>
              <w:t>的</w:t>
            </w:r>
            <w:r>
              <w:rPr>
                <w:rFonts w:cs="Tahoma" w:asciiTheme="minorEastAsia" w:hAnsiTheme="minorEastAsia" w:eastAsiaTheme="minorEastAsia"/>
                <w:color w:val="000000" w:themeColor="text1"/>
                <w:kern w:val="0"/>
                <w:sz w:val="24"/>
                <w14:textFill>
                  <w14:solidFill>
                    <w14:schemeClr w14:val="tx1"/>
                  </w14:solidFill>
                </w14:textFill>
              </w:rPr>
              <w:t>研究与实践</w:t>
            </w:r>
            <w:r>
              <w:rPr>
                <w:rFonts w:hint="eastAsia" w:cs="Tahoma" w:asciiTheme="minorEastAsia" w:hAnsiTheme="minorEastAsia" w:eastAsiaTheme="minorEastAsia"/>
                <w:color w:val="000000" w:themeColor="text1"/>
                <w:kern w:val="0"/>
                <w:sz w:val="24"/>
                <w14:textFill>
                  <w14:solidFill>
                    <w14:schemeClr w14:val="tx1"/>
                  </w14:solidFill>
                </w14:textFill>
              </w:rPr>
              <w:t>在本地区（市）</w:t>
            </w:r>
            <w:r>
              <w:rPr>
                <w:rFonts w:cs="Tahoma" w:asciiTheme="minorEastAsia" w:hAnsiTheme="minorEastAsia" w:eastAsiaTheme="minorEastAsia"/>
                <w:color w:val="000000" w:themeColor="text1"/>
                <w:kern w:val="0"/>
                <w:sz w:val="24"/>
                <w14:textFill>
                  <w14:solidFill>
                    <w14:schemeClr w14:val="tx1"/>
                  </w14:solidFill>
                </w14:textFill>
              </w:rPr>
              <w:t>得到</w:t>
            </w:r>
            <w:r>
              <w:rPr>
                <w:rFonts w:hint="eastAsia" w:cs="Tahoma" w:asciiTheme="minorEastAsia" w:hAnsiTheme="minorEastAsia" w:eastAsiaTheme="minorEastAsia"/>
                <w:color w:val="000000" w:themeColor="text1"/>
                <w:kern w:val="0"/>
                <w:sz w:val="24"/>
                <w14:textFill>
                  <w14:solidFill>
                    <w14:schemeClr w14:val="tx1"/>
                  </w14:solidFill>
                </w14:textFill>
              </w:rPr>
              <w:t>同行</w:t>
            </w:r>
            <w:r>
              <w:rPr>
                <w:rFonts w:cs="Tahoma" w:asciiTheme="minorEastAsia" w:hAnsiTheme="minorEastAsia" w:eastAsiaTheme="minorEastAsia"/>
                <w:color w:val="000000" w:themeColor="text1"/>
                <w:kern w:val="0"/>
                <w:sz w:val="24"/>
                <w14:textFill>
                  <w14:solidFill>
                    <w14:schemeClr w14:val="tx1"/>
                  </w14:solidFill>
                </w14:textFill>
              </w:rPr>
              <w:t>广泛认同</w:t>
            </w:r>
            <w:r>
              <w:rPr>
                <w:rFonts w:hint="eastAsia" w:cs="Tahoma" w:asciiTheme="minorEastAsia" w:hAnsiTheme="minorEastAsia" w:eastAsiaTheme="minorEastAsia"/>
                <w:color w:val="000000" w:themeColor="text1"/>
                <w:kern w:val="0"/>
                <w:sz w:val="24"/>
                <w14:textFill>
                  <w14:solidFill>
                    <w14:schemeClr w14:val="tx1"/>
                  </w14:solidFill>
                </w14:textFill>
              </w:rPr>
              <w:t>。（5分）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86" w:type="dxa"/>
            <w:vMerge w:val="continue"/>
            <w:vAlign w:val="center"/>
          </w:tcPr>
          <w:p>
            <w:pPr>
              <w:widowControl/>
              <w:snapToGrid w:val="0"/>
              <w:spacing w:line="300" w:lineRule="exact"/>
              <w:jc w:val="center"/>
              <w:rPr>
                <w:rFonts w:cs="Tahoma" w:asciiTheme="minorEastAsia" w:hAnsiTheme="minorEastAsia" w:eastAsiaTheme="minorEastAsia"/>
                <w:kern w:val="0"/>
                <w:sz w:val="24"/>
              </w:rPr>
            </w:pPr>
          </w:p>
        </w:tc>
        <w:tc>
          <w:tcPr>
            <w:tcW w:w="1542" w:type="dxa"/>
            <w:vAlign w:val="center"/>
          </w:tcPr>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成果示范</w:t>
            </w:r>
          </w:p>
          <w:p>
            <w:pPr>
              <w:widowControl/>
              <w:snapToGrid w:val="0"/>
              <w:spacing w:line="276" w:lineRule="auto"/>
              <w:jc w:val="center"/>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（5分）</w:t>
            </w:r>
          </w:p>
        </w:tc>
        <w:tc>
          <w:tcPr>
            <w:tcW w:w="10648" w:type="dxa"/>
            <w:vAlign w:val="center"/>
          </w:tcPr>
          <w:p>
            <w:pPr>
              <w:widowControl/>
              <w:snapToGrid w:val="0"/>
              <w:spacing w:line="276" w:lineRule="auto"/>
              <w:jc w:val="left"/>
              <w:rPr>
                <w:rFonts w:cs="Tahoma" w:asciiTheme="minorEastAsia" w:hAnsiTheme="minorEastAsia" w:eastAsiaTheme="minorEastAsia"/>
                <w:color w:val="000000" w:themeColor="text1"/>
                <w:kern w:val="0"/>
                <w:sz w:val="24"/>
                <w14:textFill>
                  <w14:solidFill>
                    <w14:schemeClr w14:val="tx1"/>
                  </w14:solidFill>
                </w14:textFill>
              </w:rPr>
            </w:pPr>
            <w:r>
              <w:rPr>
                <w:rFonts w:hint="eastAsia" w:cs="Tahoma" w:asciiTheme="minorEastAsia" w:hAnsiTheme="minorEastAsia" w:eastAsiaTheme="minorEastAsia"/>
                <w:color w:val="000000" w:themeColor="text1"/>
                <w:kern w:val="0"/>
                <w:sz w:val="24"/>
                <w14:textFill>
                  <w14:solidFill>
                    <w14:schemeClr w14:val="tx1"/>
                  </w14:solidFill>
                </w14:textFill>
              </w:rPr>
              <w:t>25.获得基础教育国家、省、市相关的教育教学成果奖励。（5分）</w:t>
            </w:r>
          </w:p>
        </w:tc>
        <w:tc>
          <w:tcPr>
            <w:tcW w:w="613" w:type="dxa"/>
            <w:vAlign w:val="center"/>
          </w:tcPr>
          <w:p>
            <w:pPr>
              <w:widowControl/>
              <w:snapToGrid w:val="0"/>
              <w:spacing w:line="300" w:lineRule="exact"/>
              <w:jc w:val="center"/>
              <w:rPr>
                <w:rFonts w:ascii="仿宋_GB2312" w:hAnsi="楷体" w:cs="Tahoma"/>
                <w:kern w:val="0"/>
                <w:sz w:val="24"/>
              </w:rPr>
            </w:pPr>
          </w:p>
        </w:tc>
        <w:tc>
          <w:tcPr>
            <w:tcW w:w="646" w:type="dxa"/>
            <w:vAlign w:val="center"/>
          </w:tcPr>
          <w:p>
            <w:pPr>
              <w:widowControl/>
              <w:snapToGrid w:val="0"/>
              <w:spacing w:line="300" w:lineRule="exact"/>
              <w:jc w:val="center"/>
              <w:rPr>
                <w:rFonts w:ascii="仿宋_GB2312" w:hAnsi="楷体" w:cs="Tahoma"/>
                <w:kern w:val="0"/>
                <w:sz w:val="24"/>
              </w:rPr>
            </w:pPr>
          </w:p>
        </w:tc>
      </w:tr>
    </w:tbl>
    <w:p>
      <w:pPr>
        <w:rPr>
          <w:rFonts w:ascii="宋体" w:hAnsi="宋体" w:eastAsia="宋体"/>
          <w:sz w:val="24"/>
          <w:szCs w:val="24"/>
        </w:rPr>
      </w:pPr>
      <w:r>
        <w:rPr>
          <w:rFonts w:hint="eastAsia" w:ascii="宋体" w:hAnsi="宋体" w:eastAsia="宋体"/>
          <w:sz w:val="24"/>
          <w:szCs w:val="24"/>
        </w:rPr>
        <w:t>说明：1.市课程改革先进校必考项为1-25项，满分100分。</w:t>
      </w:r>
    </w:p>
    <w:p>
      <w:pPr>
        <w:ind w:firstLine="720" w:firstLineChars="300"/>
        <w:rPr>
          <w:rFonts w:ascii="宋体" w:hAnsi="宋体" w:eastAsia="宋体"/>
          <w:sz w:val="24"/>
          <w:szCs w:val="24"/>
        </w:rPr>
      </w:pPr>
      <w:r>
        <w:rPr>
          <w:rFonts w:hint="eastAsia" w:ascii="宋体" w:hAnsi="宋体" w:eastAsia="宋体"/>
          <w:sz w:val="24"/>
          <w:szCs w:val="24"/>
        </w:rPr>
        <w:t>2.市课程改革基地校必考项为1-24项，满分为95分，第25项为加分项。</w:t>
      </w:r>
    </w:p>
    <w:p>
      <w:pPr>
        <w:ind w:firstLine="720" w:firstLineChars="300"/>
        <w:rPr>
          <w:rFonts w:ascii="宋体" w:hAnsi="宋体" w:eastAsia="宋体"/>
          <w:sz w:val="24"/>
          <w:szCs w:val="24"/>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r>
        <w:rPr>
          <w:rFonts w:hint="eastAsia" w:ascii="宋体" w:hAnsi="宋体" w:eastAsia="宋体"/>
          <w:sz w:val="24"/>
          <w:szCs w:val="24"/>
        </w:rPr>
        <w:t>3.市课程改革达标校必考项为1-23项，满分为90分，第24项、第25项为加分项。</w:t>
      </w:r>
    </w:p>
    <w:p>
      <w:pPr>
        <w:rPr>
          <w:rFonts w:ascii="宋体" w:hAnsi="宋体" w:eastAsia="宋体"/>
          <w:sz w:val="24"/>
          <w:szCs w:val="24"/>
        </w:rPr>
        <w:sectPr>
          <w:footerReference r:id="rId4" w:type="default"/>
          <w:pgSz w:w="16838" w:h="11906" w:orient="landscape"/>
          <w:pgMar w:top="1800" w:right="1440" w:bottom="1800" w:left="1440" w:header="851" w:footer="992" w:gutter="0"/>
          <w:pgNumType w:fmt="numberInDash" w:start="1"/>
          <w:cols w:space="425"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067135"/>
      <w:docPartObj>
        <w:docPartGallery w:val="autotext"/>
      </w:docPartObj>
    </w:sdtPr>
    <w:sdtEndPr>
      <w:rPr>
        <w:rFonts w:asciiTheme="minorEastAsia" w:hAnsiTheme="minorEastAsia" w:eastAsiaTheme="minorEastAsia"/>
        <w:sz w:val="28"/>
      </w:rPr>
    </w:sdtEndPr>
    <w:sdtContent>
      <w:p>
        <w:pPr>
          <w:pStyle w:val="2"/>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067135"/>
      <w:docPartObj>
        <w:docPartGallery w:val="autotext"/>
      </w:docPartObj>
    </w:sdtPr>
    <w:sdtEndPr>
      <w:rPr>
        <w:rFonts w:asciiTheme="minorEastAsia" w:hAnsiTheme="minorEastAsia" w:eastAsiaTheme="minorEastAsia"/>
        <w:sz w:val="28"/>
      </w:rPr>
    </w:sdtEndPr>
    <w:sdtContent>
      <w:p>
        <w:pPr>
          <w:pStyle w:val="2"/>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D2EE3"/>
    <w:rsid w:val="7FCD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2020-11-27T05:02:00Z</dcterms:created>
  <dc:creator>风雅</dc:creator>
  <cp:lastModifiedBy>风雅</cp:lastModifiedBy>
  <dcterms:modified xsi:type="dcterms:W3CDTF">2020-11-27T05:03:28Z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